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4AF44" w14:textId="77777777" w:rsidR="00601756" w:rsidRPr="00601756" w:rsidRDefault="00601756" w:rsidP="00601756">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601756">
        <w:rPr>
          <w:rFonts w:ascii="Lato" w:eastAsia="Times New Roman" w:hAnsi="Lato" w:cs="Times New Roman"/>
          <w:color w:val="CC3300"/>
          <w:kern w:val="36"/>
          <w:sz w:val="36"/>
          <w:szCs w:val="36"/>
          <w:lang w:eastAsia="fr-BE"/>
          <w14:ligatures w14:val="none"/>
        </w:rPr>
        <w:t>Le marché du cobalt montre des signes de tensions</w:t>
      </w:r>
    </w:p>
    <w:p w14:paraId="7ECBEB71" w14:textId="77777777" w:rsidR="00601756" w:rsidRDefault="00601756" w:rsidP="00601756">
      <w:pPr>
        <w:shd w:val="clear" w:color="auto" w:fill="FFFFFF"/>
        <w:spacing w:before="75" w:after="75" w:line="240" w:lineRule="auto"/>
        <w:jc w:val="both"/>
        <w:rPr>
          <w:rFonts w:ascii="Lato" w:eastAsia="Times New Roman" w:hAnsi="Lato" w:cs="Times New Roman"/>
          <w:i/>
          <w:iCs/>
          <w:color w:val="000000"/>
          <w:kern w:val="0"/>
          <w:sz w:val="23"/>
          <w:szCs w:val="23"/>
          <w:lang w:eastAsia="fr-BE"/>
          <w14:ligatures w14:val="none"/>
        </w:rPr>
      </w:pPr>
    </w:p>
    <w:p w14:paraId="426D7C6A" w14:textId="4544E32C" w:rsidR="00601756" w:rsidRPr="00601756" w:rsidRDefault="00601756" w:rsidP="00601756">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601756">
        <w:rPr>
          <w:rFonts w:ascii="Lato" w:eastAsia="Times New Roman" w:hAnsi="Lato" w:cs="Times New Roman"/>
          <w:b/>
          <w:bCs/>
          <w:color w:val="000000"/>
          <w:kern w:val="0"/>
          <w:sz w:val="23"/>
          <w:szCs w:val="23"/>
          <w:lang w:eastAsia="fr-BE"/>
          <w14:ligatures w14:val="none"/>
        </w:rPr>
        <w:t>Exposé à des tensions sur l’approvisionnement et un regain d’intérêt de la part des investisseurs, le marché du cobalt fait preuve de fermeté. Une situation qui contraste avec celle du marché des flocons de manganèse, particulièrement atone.</w:t>
      </w:r>
    </w:p>
    <w:p w14:paraId="7D4AD827" w14:textId="77777777" w:rsidR="00601756" w:rsidRPr="00601756" w:rsidRDefault="00601756" w:rsidP="00601756">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601756">
        <w:rPr>
          <w:rFonts w:ascii="Lato" w:eastAsia="Times New Roman" w:hAnsi="Lato" w:cs="Times New Roman"/>
          <w:color w:val="000000"/>
          <w:kern w:val="0"/>
          <w:sz w:val="23"/>
          <w:szCs w:val="23"/>
          <w:lang w:eastAsia="fr-BE"/>
          <w14:ligatures w14:val="none"/>
        </w:rPr>
        <w:t> </w:t>
      </w:r>
    </w:p>
    <w:p w14:paraId="3B5354B7" w14:textId="77777777" w:rsidR="00601756" w:rsidRPr="00601756" w:rsidRDefault="00601756" w:rsidP="00601756">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601756">
        <w:rPr>
          <w:rFonts w:ascii="Lato" w:eastAsia="Times New Roman" w:hAnsi="Lato" w:cs="Times New Roman"/>
          <w:b/>
          <w:bCs/>
          <w:color w:val="A52A2A"/>
          <w:kern w:val="0"/>
          <w:sz w:val="23"/>
          <w:szCs w:val="23"/>
          <w:lang w:eastAsia="fr-BE"/>
          <w14:ligatures w14:val="none"/>
        </w:rPr>
        <w:t>Cobalt : le marché se tend, les cours grimpent</w:t>
      </w:r>
    </w:p>
    <w:p w14:paraId="06E5D6C3" w14:textId="77777777" w:rsidR="00601756" w:rsidRPr="00601756" w:rsidRDefault="00601756" w:rsidP="00601756">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601756">
        <w:rPr>
          <w:rFonts w:ascii="Lato" w:eastAsia="Times New Roman" w:hAnsi="Lato" w:cs="Times New Roman"/>
          <w:color w:val="000000"/>
          <w:kern w:val="0"/>
          <w:sz w:val="23"/>
          <w:szCs w:val="23"/>
          <w:lang w:eastAsia="fr-BE"/>
          <w14:ligatures w14:val="none"/>
        </w:rPr>
        <w:t>Des tensions sur l’offre et un regain d’achats de la part des négociants ont continué de pousser les cours du cobalt à la hausse. Les acteurs du marché confirment que les conditions se tendent pour les deux qualités, et ce de manière plus exacerbée pour certaines catégories, utilisées dans le secteur des superalliages. « </w:t>
      </w:r>
      <w:r w:rsidRPr="00601756">
        <w:rPr>
          <w:rFonts w:ascii="Lato" w:eastAsia="Times New Roman" w:hAnsi="Lato" w:cs="Times New Roman"/>
          <w:i/>
          <w:iCs/>
          <w:color w:val="000000"/>
          <w:kern w:val="0"/>
          <w:sz w:val="23"/>
          <w:szCs w:val="23"/>
          <w:lang w:eastAsia="fr-BE"/>
          <w14:ligatures w14:val="none"/>
        </w:rPr>
        <w:t>L’approvisionnement est beaucoup plus serré qu’il ne l’était, et certains acheteurs achètent tout ce qu’ils peuvent, avant que les prix n’augmentent davantage </w:t>
      </w:r>
      <w:r w:rsidRPr="00601756">
        <w:rPr>
          <w:rFonts w:ascii="Lato" w:eastAsia="Times New Roman" w:hAnsi="Lato" w:cs="Times New Roman"/>
          <w:color w:val="000000"/>
          <w:kern w:val="0"/>
          <w:sz w:val="23"/>
          <w:szCs w:val="23"/>
          <w:lang w:eastAsia="fr-BE"/>
          <w14:ligatures w14:val="none"/>
        </w:rPr>
        <w:t>», indique un négociant basé aux Etats-Unis. Certaines catégories sont vendues à des prix supérieurs, notamment celles destinées au secteur américain des superalliages, dont le choix de catégories est restreint. « </w:t>
      </w:r>
      <w:r w:rsidRPr="00601756">
        <w:rPr>
          <w:rFonts w:ascii="Lato" w:eastAsia="Times New Roman" w:hAnsi="Lato" w:cs="Times New Roman"/>
          <w:i/>
          <w:iCs/>
          <w:color w:val="000000"/>
          <w:kern w:val="0"/>
          <w:sz w:val="23"/>
          <w:szCs w:val="23"/>
          <w:lang w:eastAsia="fr-BE"/>
          <w14:ligatures w14:val="none"/>
        </w:rPr>
        <w:t>Il devient compliqué de se procurer du métal, d’une qualité ou d’une autre. Plus les volumes demandés sont importants, plus c’est difficile </w:t>
      </w:r>
      <w:r w:rsidRPr="00601756">
        <w:rPr>
          <w:rFonts w:ascii="Lato" w:eastAsia="Times New Roman" w:hAnsi="Lato" w:cs="Times New Roman"/>
          <w:color w:val="000000"/>
          <w:kern w:val="0"/>
          <w:sz w:val="23"/>
          <w:szCs w:val="23"/>
          <w:lang w:eastAsia="fr-BE"/>
          <w14:ligatures w14:val="none"/>
        </w:rPr>
        <w:t>», a constaté un négociant européen. Actuellement, le </w:t>
      </w:r>
      <w:r w:rsidRPr="00601756">
        <w:rPr>
          <w:rFonts w:ascii="Lato" w:eastAsia="Times New Roman" w:hAnsi="Lato" w:cs="Times New Roman"/>
          <w:color w:val="000000"/>
          <w:kern w:val="0"/>
          <w:sz w:val="23"/>
          <w:szCs w:val="23"/>
          <w:u w:val="single"/>
          <w:lang w:eastAsia="fr-BE"/>
          <w14:ligatures w14:val="none"/>
        </w:rPr>
        <w:t>cobalt qualité alliages</w:t>
      </w:r>
      <w:r w:rsidRPr="00601756">
        <w:rPr>
          <w:rFonts w:ascii="Lato" w:eastAsia="Times New Roman" w:hAnsi="Lato" w:cs="Times New Roman"/>
          <w:color w:val="000000"/>
          <w:kern w:val="0"/>
          <w:sz w:val="23"/>
          <w:szCs w:val="23"/>
          <w:lang w:eastAsia="fr-BE"/>
          <w14:ligatures w14:val="none"/>
        </w:rPr>
        <w:t> se négocie à un niveau supérieur (+2,50 $) au </w:t>
      </w:r>
      <w:r w:rsidRPr="00601756">
        <w:rPr>
          <w:rFonts w:ascii="Lato" w:eastAsia="Times New Roman" w:hAnsi="Lato" w:cs="Times New Roman"/>
          <w:color w:val="000000"/>
          <w:kern w:val="0"/>
          <w:sz w:val="23"/>
          <w:szCs w:val="23"/>
          <w:u w:val="single"/>
          <w:lang w:eastAsia="fr-BE"/>
          <w14:ligatures w14:val="none"/>
        </w:rPr>
        <w:t>cobalt qualité standard</w:t>
      </w:r>
      <w:r w:rsidRPr="00601756">
        <w:rPr>
          <w:rFonts w:ascii="Lato" w:eastAsia="Times New Roman" w:hAnsi="Lato" w:cs="Times New Roman"/>
          <w:color w:val="000000"/>
          <w:kern w:val="0"/>
          <w:sz w:val="23"/>
          <w:szCs w:val="23"/>
          <w:lang w:eastAsia="fr-BE"/>
          <w14:ligatures w14:val="none"/>
        </w:rPr>
        <w:t>, son approvisionnement étant plus tendu. En sus des difficultés d’approvisionnement, les négociants et investisseurs ont manifesté un regain d’intérêt aux achats. « </w:t>
      </w:r>
      <w:r w:rsidRPr="00601756">
        <w:rPr>
          <w:rFonts w:ascii="Lato" w:eastAsia="Times New Roman" w:hAnsi="Lato" w:cs="Times New Roman"/>
          <w:i/>
          <w:iCs/>
          <w:color w:val="000000"/>
          <w:kern w:val="0"/>
          <w:sz w:val="23"/>
          <w:szCs w:val="23"/>
          <w:lang w:eastAsia="fr-BE"/>
          <w14:ligatures w14:val="none"/>
        </w:rPr>
        <w:t>La demande ne vient pas seulement des consommateurs, s</w:t>
      </w:r>
      <w:r w:rsidRPr="00601756">
        <w:rPr>
          <w:rFonts w:ascii="Lato" w:eastAsia="Times New Roman" w:hAnsi="Lato" w:cs="Times New Roman"/>
          <w:color w:val="000000"/>
          <w:kern w:val="0"/>
          <w:sz w:val="23"/>
          <w:szCs w:val="23"/>
          <w:lang w:eastAsia="fr-BE"/>
          <w14:ligatures w14:val="none"/>
        </w:rPr>
        <w:t>ouligne le négociant, </w:t>
      </w:r>
      <w:r w:rsidRPr="00601756">
        <w:rPr>
          <w:rFonts w:ascii="Lato" w:eastAsia="Times New Roman" w:hAnsi="Lato" w:cs="Times New Roman"/>
          <w:i/>
          <w:iCs/>
          <w:color w:val="000000"/>
          <w:kern w:val="0"/>
          <w:sz w:val="23"/>
          <w:szCs w:val="23"/>
          <w:lang w:eastAsia="fr-BE"/>
          <w14:ligatures w14:val="none"/>
        </w:rPr>
        <w:t>les acteurs du marché sont globalement confiants concernant les perspectives pour le métal </w:t>
      </w:r>
      <w:r w:rsidRPr="00601756">
        <w:rPr>
          <w:rFonts w:ascii="Lato" w:eastAsia="Times New Roman" w:hAnsi="Lato" w:cs="Times New Roman"/>
          <w:color w:val="000000"/>
          <w:kern w:val="0"/>
          <w:sz w:val="23"/>
          <w:szCs w:val="23"/>
          <w:lang w:eastAsia="fr-BE"/>
          <w14:ligatures w14:val="none"/>
        </w:rPr>
        <w:t xml:space="preserve">». Il y a quelques semaines, le </w:t>
      </w:r>
      <w:proofErr w:type="gramStart"/>
      <w:r w:rsidRPr="00601756">
        <w:rPr>
          <w:rFonts w:ascii="Lato" w:eastAsia="Times New Roman" w:hAnsi="Lato" w:cs="Times New Roman"/>
          <w:color w:val="000000"/>
          <w:kern w:val="0"/>
          <w:sz w:val="23"/>
          <w:szCs w:val="23"/>
          <w:lang w:eastAsia="fr-BE"/>
          <w14:ligatures w14:val="none"/>
        </w:rPr>
        <w:t>marché</w:t>
      </w:r>
      <w:proofErr w:type="gramEnd"/>
      <w:r w:rsidRPr="00601756">
        <w:rPr>
          <w:rFonts w:ascii="Lato" w:eastAsia="Times New Roman" w:hAnsi="Lato" w:cs="Times New Roman"/>
          <w:color w:val="000000"/>
          <w:kern w:val="0"/>
          <w:sz w:val="23"/>
          <w:szCs w:val="23"/>
          <w:lang w:eastAsia="fr-BE"/>
          <w14:ligatures w14:val="none"/>
        </w:rPr>
        <w:t xml:space="preserve"> des produits chimiques avait montré des signes de reprise, ce qui avait fait progresser les cours de la </w:t>
      </w:r>
      <w:r w:rsidRPr="00601756">
        <w:rPr>
          <w:rFonts w:ascii="Lato" w:eastAsia="Times New Roman" w:hAnsi="Lato" w:cs="Times New Roman"/>
          <w:color w:val="000000"/>
          <w:kern w:val="0"/>
          <w:sz w:val="23"/>
          <w:szCs w:val="23"/>
          <w:u w:val="single"/>
          <w:lang w:eastAsia="fr-BE"/>
          <w14:ligatures w14:val="none"/>
        </w:rPr>
        <w:t>qualité standard</w:t>
      </w:r>
      <w:r w:rsidRPr="00601756">
        <w:rPr>
          <w:rFonts w:ascii="Lato" w:eastAsia="Times New Roman" w:hAnsi="Lato" w:cs="Times New Roman"/>
          <w:color w:val="000000"/>
          <w:kern w:val="0"/>
          <w:sz w:val="23"/>
          <w:szCs w:val="23"/>
          <w:lang w:eastAsia="fr-BE"/>
          <w14:ligatures w14:val="none"/>
        </w:rPr>
        <w:t>, qui avaient ensuite entraîné dans leur sillage la </w:t>
      </w:r>
      <w:r w:rsidRPr="00601756">
        <w:rPr>
          <w:rFonts w:ascii="Lato" w:eastAsia="Times New Roman" w:hAnsi="Lato" w:cs="Times New Roman"/>
          <w:color w:val="000000"/>
          <w:kern w:val="0"/>
          <w:sz w:val="23"/>
          <w:szCs w:val="23"/>
          <w:u w:val="single"/>
          <w:lang w:eastAsia="fr-BE"/>
          <w14:ligatures w14:val="none"/>
        </w:rPr>
        <w:t>qualité alliage</w:t>
      </w:r>
      <w:r w:rsidRPr="00601756">
        <w:rPr>
          <w:rFonts w:ascii="Lato" w:eastAsia="Times New Roman" w:hAnsi="Lato" w:cs="Times New Roman"/>
          <w:color w:val="000000"/>
          <w:kern w:val="0"/>
          <w:sz w:val="23"/>
          <w:szCs w:val="23"/>
          <w:lang w:eastAsia="fr-BE"/>
          <w14:ligatures w14:val="none"/>
        </w:rPr>
        <w:t>. Cette dernière semble dorénavant être le moteur de la </w:t>
      </w:r>
      <w:r w:rsidRPr="00601756">
        <w:rPr>
          <w:rFonts w:ascii="Lato" w:eastAsia="Times New Roman" w:hAnsi="Lato" w:cs="Times New Roman"/>
          <w:color w:val="000000"/>
          <w:kern w:val="0"/>
          <w:sz w:val="23"/>
          <w:szCs w:val="23"/>
          <w:u w:val="single"/>
          <w:lang w:eastAsia="fr-BE"/>
          <w14:ligatures w14:val="none"/>
        </w:rPr>
        <w:t>qualité standard</w:t>
      </w:r>
      <w:r w:rsidRPr="00601756">
        <w:rPr>
          <w:rFonts w:ascii="Lato" w:eastAsia="Times New Roman" w:hAnsi="Lato" w:cs="Times New Roman"/>
          <w:color w:val="000000"/>
          <w:kern w:val="0"/>
          <w:sz w:val="23"/>
          <w:szCs w:val="23"/>
          <w:lang w:eastAsia="fr-BE"/>
          <w14:ligatures w14:val="none"/>
        </w:rPr>
        <w:t>.</w:t>
      </w:r>
    </w:p>
    <w:p w14:paraId="3A6CA7FE" w14:textId="77777777" w:rsidR="00601756" w:rsidRPr="00601756" w:rsidRDefault="00601756" w:rsidP="00601756">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601756">
        <w:rPr>
          <w:rFonts w:ascii="Lato" w:eastAsia="Times New Roman" w:hAnsi="Lato" w:cs="Times New Roman"/>
          <w:color w:val="000000"/>
          <w:kern w:val="0"/>
          <w:sz w:val="23"/>
          <w:szCs w:val="23"/>
          <w:lang w:eastAsia="fr-BE"/>
          <w14:ligatures w14:val="none"/>
        </w:rPr>
        <w:t>Par ailleurs, </w:t>
      </w:r>
      <w:proofErr w:type="spellStart"/>
      <w:r w:rsidRPr="00601756">
        <w:rPr>
          <w:rFonts w:ascii="Lato" w:eastAsia="Times New Roman" w:hAnsi="Lato" w:cs="Times New Roman"/>
          <w:b/>
          <w:bCs/>
          <w:color w:val="000000"/>
          <w:kern w:val="0"/>
          <w:sz w:val="23"/>
          <w:szCs w:val="23"/>
          <w:lang w:eastAsia="fr-BE"/>
          <w14:ligatures w14:val="none"/>
        </w:rPr>
        <w:t>Jervois</w:t>
      </w:r>
      <w:proofErr w:type="spellEnd"/>
      <w:r w:rsidRPr="00601756">
        <w:rPr>
          <w:rFonts w:ascii="Lato" w:eastAsia="Times New Roman" w:hAnsi="Lato" w:cs="Times New Roman"/>
          <w:b/>
          <w:bCs/>
          <w:color w:val="000000"/>
          <w:kern w:val="0"/>
          <w:sz w:val="23"/>
          <w:szCs w:val="23"/>
          <w:lang w:eastAsia="fr-BE"/>
          <w14:ligatures w14:val="none"/>
        </w:rPr>
        <w:t xml:space="preserve"> </w:t>
      </w:r>
      <w:proofErr w:type="spellStart"/>
      <w:r w:rsidRPr="00601756">
        <w:rPr>
          <w:rFonts w:ascii="Lato" w:eastAsia="Times New Roman" w:hAnsi="Lato" w:cs="Times New Roman"/>
          <w:b/>
          <w:bCs/>
          <w:color w:val="000000"/>
          <w:kern w:val="0"/>
          <w:sz w:val="23"/>
          <w:szCs w:val="23"/>
          <w:lang w:eastAsia="fr-BE"/>
          <w14:ligatures w14:val="none"/>
        </w:rPr>
        <w:t>Finland</w:t>
      </w:r>
      <w:proofErr w:type="spellEnd"/>
      <w:r w:rsidRPr="00601756">
        <w:rPr>
          <w:rFonts w:ascii="Lato" w:eastAsia="Times New Roman" w:hAnsi="Lato" w:cs="Times New Roman"/>
          <w:color w:val="000000"/>
          <w:kern w:val="0"/>
          <w:sz w:val="23"/>
          <w:szCs w:val="23"/>
          <w:lang w:eastAsia="fr-BE"/>
          <w14:ligatures w14:val="none"/>
        </w:rPr>
        <w:t>, filiale du producteur de nickel et de cobalt </w:t>
      </w:r>
      <w:proofErr w:type="spellStart"/>
      <w:r w:rsidRPr="00601756">
        <w:rPr>
          <w:rFonts w:ascii="Lato" w:eastAsia="Times New Roman" w:hAnsi="Lato" w:cs="Times New Roman"/>
          <w:b/>
          <w:bCs/>
          <w:color w:val="000000"/>
          <w:kern w:val="0"/>
          <w:sz w:val="23"/>
          <w:szCs w:val="23"/>
          <w:lang w:eastAsia="fr-BE"/>
          <w14:ligatures w14:val="none"/>
        </w:rPr>
        <w:t>Jervois</w:t>
      </w:r>
      <w:proofErr w:type="spellEnd"/>
      <w:r w:rsidRPr="00601756">
        <w:rPr>
          <w:rFonts w:ascii="Lato" w:eastAsia="Times New Roman" w:hAnsi="Lato" w:cs="Times New Roman"/>
          <w:b/>
          <w:bCs/>
          <w:color w:val="000000"/>
          <w:kern w:val="0"/>
          <w:sz w:val="23"/>
          <w:szCs w:val="23"/>
          <w:lang w:eastAsia="fr-BE"/>
          <w14:ligatures w14:val="none"/>
        </w:rPr>
        <w:t xml:space="preserve"> Global</w:t>
      </w:r>
      <w:r w:rsidRPr="00601756">
        <w:rPr>
          <w:rFonts w:ascii="Lato" w:eastAsia="Times New Roman" w:hAnsi="Lato" w:cs="Times New Roman"/>
          <w:color w:val="000000"/>
          <w:kern w:val="0"/>
          <w:sz w:val="23"/>
          <w:szCs w:val="23"/>
          <w:lang w:eastAsia="fr-BE"/>
          <w14:ligatures w14:val="none"/>
        </w:rPr>
        <w:t>, s’est vu attribuer une subvention conditionnelle de 12 millions d’euros de la part du gouvernement finlandais, pour relancer l’étude de faisabilité visant à doubler la capacité de sa raffinerie de cobalt à Kokkola, au centre de la Finlande. Sa capacité actuelle s’élève à 6.250 tonnes de cobalt affiné par an. L’étude de faisabilité bancaire avait initialement été annoncée en mai 2022, avec pour objectif d’étendre sa capacité à 12.250 tonnes. Mais </w:t>
      </w:r>
      <w:proofErr w:type="spellStart"/>
      <w:r w:rsidRPr="00601756">
        <w:rPr>
          <w:rFonts w:ascii="Lato" w:eastAsia="Times New Roman" w:hAnsi="Lato" w:cs="Times New Roman"/>
          <w:b/>
          <w:bCs/>
          <w:color w:val="000000"/>
          <w:kern w:val="0"/>
          <w:sz w:val="23"/>
          <w:szCs w:val="23"/>
          <w:lang w:eastAsia="fr-BE"/>
          <w14:ligatures w14:val="none"/>
        </w:rPr>
        <w:t>Jervois</w:t>
      </w:r>
      <w:proofErr w:type="spellEnd"/>
      <w:r w:rsidRPr="00601756">
        <w:rPr>
          <w:rFonts w:ascii="Lato" w:eastAsia="Times New Roman" w:hAnsi="Lato" w:cs="Times New Roman"/>
          <w:b/>
          <w:bCs/>
          <w:color w:val="000000"/>
          <w:kern w:val="0"/>
          <w:sz w:val="23"/>
          <w:szCs w:val="23"/>
          <w:lang w:eastAsia="fr-BE"/>
          <w14:ligatures w14:val="none"/>
        </w:rPr>
        <w:t xml:space="preserve"> Global </w:t>
      </w:r>
      <w:r w:rsidRPr="00601756">
        <w:rPr>
          <w:rFonts w:ascii="Lato" w:eastAsia="Times New Roman" w:hAnsi="Lato" w:cs="Times New Roman"/>
          <w:color w:val="000000"/>
          <w:kern w:val="0"/>
          <w:sz w:val="23"/>
          <w:szCs w:val="23"/>
          <w:lang w:eastAsia="fr-BE"/>
          <w14:ligatures w14:val="none"/>
        </w:rPr>
        <w:t>avait mis en pause son projet en avril 2023, au profit d’une proposition pour sa filiale </w:t>
      </w:r>
      <w:proofErr w:type="spellStart"/>
      <w:r w:rsidRPr="00601756">
        <w:rPr>
          <w:rFonts w:ascii="Lato" w:eastAsia="Times New Roman" w:hAnsi="Lato" w:cs="Times New Roman"/>
          <w:b/>
          <w:bCs/>
          <w:color w:val="000000"/>
          <w:kern w:val="0"/>
          <w:sz w:val="23"/>
          <w:szCs w:val="23"/>
          <w:lang w:eastAsia="fr-BE"/>
          <w14:ligatures w14:val="none"/>
        </w:rPr>
        <w:t>Jervois</w:t>
      </w:r>
      <w:proofErr w:type="spellEnd"/>
      <w:r w:rsidRPr="00601756">
        <w:rPr>
          <w:rFonts w:ascii="Lato" w:eastAsia="Times New Roman" w:hAnsi="Lato" w:cs="Times New Roman"/>
          <w:b/>
          <w:bCs/>
          <w:color w:val="000000"/>
          <w:kern w:val="0"/>
          <w:sz w:val="23"/>
          <w:szCs w:val="23"/>
          <w:lang w:eastAsia="fr-BE"/>
          <w14:ligatures w14:val="none"/>
        </w:rPr>
        <w:t xml:space="preserve"> USA</w:t>
      </w:r>
      <w:r w:rsidRPr="00601756">
        <w:rPr>
          <w:rFonts w:ascii="Lato" w:eastAsia="Times New Roman" w:hAnsi="Lato" w:cs="Times New Roman"/>
          <w:color w:val="000000"/>
          <w:kern w:val="0"/>
          <w:sz w:val="23"/>
          <w:szCs w:val="23"/>
          <w:lang w:eastAsia="fr-BE"/>
          <w14:ligatures w14:val="none"/>
        </w:rPr>
        <w:t>, de réaliser une étude de faisabilité bancaire pour la construction d’une nouvelle fonderie de cobalt aux Etats-Unis. Cette annonce de financement finlandais intervient quelques jours après l’accord de financement de 15 millions de dollars signé par </w:t>
      </w:r>
      <w:proofErr w:type="spellStart"/>
      <w:r w:rsidRPr="00601756">
        <w:rPr>
          <w:rFonts w:ascii="Lato" w:eastAsia="Times New Roman" w:hAnsi="Lato" w:cs="Times New Roman"/>
          <w:b/>
          <w:bCs/>
          <w:color w:val="000000"/>
          <w:kern w:val="0"/>
          <w:sz w:val="23"/>
          <w:szCs w:val="23"/>
          <w:lang w:eastAsia="fr-BE"/>
          <w14:ligatures w14:val="none"/>
        </w:rPr>
        <w:t>Jervois</w:t>
      </w:r>
      <w:proofErr w:type="spellEnd"/>
      <w:r w:rsidRPr="00601756">
        <w:rPr>
          <w:rFonts w:ascii="Lato" w:eastAsia="Times New Roman" w:hAnsi="Lato" w:cs="Times New Roman"/>
          <w:b/>
          <w:bCs/>
          <w:color w:val="000000"/>
          <w:kern w:val="0"/>
          <w:sz w:val="23"/>
          <w:szCs w:val="23"/>
          <w:lang w:eastAsia="fr-BE"/>
          <w14:ligatures w14:val="none"/>
        </w:rPr>
        <w:t xml:space="preserve"> USA </w:t>
      </w:r>
      <w:r w:rsidRPr="00601756">
        <w:rPr>
          <w:rFonts w:ascii="Lato" w:eastAsia="Times New Roman" w:hAnsi="Lato" w:cs="Times New Roman"/>
          <w:color w:val="000000"/>
          <w:kern w:val="0"/>
          <w:sz w:val="23"/>
          <w:szCs w:val="23"/>
          <w:lang w:eastAsia="fr-BE"/>
          <w14:ligatures w14:val="none"/>
        </w:rPr>
        <w:t>avec le ministère américain de la Défense, en vue de mettre en œuvre l’étude de faisabilité sur le nouveau projet américain, et pour faire progresser les forages sur le projet existant Idaho Cobalt Operations.  </w:t>
      </w:r>
    </w:p>
    <w:p w14:paraId="75759B1B" w14:textId="77777777" w:rsidR="00601756" w:rsidRPr="00601756" w:rsidRDefault="00601756" w:rsidP="00601756">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601756">
        <w:rPr>
          <w:rFonts w:ascii="Lato" w:eastAsia="Times New Roman" w:hAnsi="Lato" w:cs="Times New Roman"/>
          <w:color w:val="000000"/>
          <w:kern w:val="0"/>
          <w:sz w:val="23"/>
          <w:szCs w:val="23"/>
          <w:lang w:eastAsia="fr-BE"/>
          <w14:ligatures w14:val="none"/>
        </w:rPr>
        <w:t> </w:t>
      </w:r>
    </w:p>
    <w:p w14:paraId="3BCC40DD" w14:textId="77777777" w:rsidR="00601756" w:rsidRPr="00601756" w:rsidRDefault="00601756" w:rsidP="00601756">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601756">
        <w:rPr>
          <w:rFonts w:ascii="Lato" w:eastAsia="Times New Roman" w:hAnsi="Lato" w:cs="Times New Roman"/>
          <w:b/>
          <w:bCs/>
          <w:color w:val="A52A2A"/>
          <w:kern w:val="0"/>
          <w:sz w:val="23"/>
          <w:szCs w:val="23"/>
          <w:lang w:eastAsia="fr-BE"/>
          <w14:ligatures w14:val="none"/>
        </w:rPr>
        <w:t>Flocons de manganèse : à la dérive</w:t>
      </w:r>
    </w:p>
    <w:p w14:paraId="25E1210C" w14:textId="77777777" w:rsidR="00601756" w:rsidRPr="00601756" w:rsidRDefault="00601756" w:rsidP="00601756">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601756">
        <w:rPr>
          <w:rFonts w:ascii="Lato" w:eastAsia="Times New Roman" w:hAnsi="Lato" w:cs="Times New Roman"/>
          <w:color w:val="000000"/>
          <w:kern w:val="0"/>
          <w:sz w:val="23"/>
          <w:szCs w:val="23"/>
          <w:lang w:eastAsia="fr-BE"/>
          <w14:ligatures w14:val="none"/>
        </w:rPr>
        <w:t>Les cours de flocons de manganèse ont poursuivi leur déclin ces derniers jours, sur fond de disponibilités abondantes en Europe, et d’offres à bas prix de la part des négociants, soucieux de sécuriser des transactions. « </w:t>
      </w:r>
      <w:r w:rsidRPr="00601756">
        <w:rPr>
          <w:rFonts w:ascii="Lato" w:eastAsia="Times New Roman" w:hAnsi="Lato" w:cs="Times New Roman"/>
          <w:i/>
          <w:iCs/>
          <w:color w:val="000000"/>
          <w:kern w:val="0"/>
          <w:sz w:val="23"/>
          <w:szCs w:val="23"/>
          <w:lang w:eastAsia="fr-BE"/>
          <w14:ligatures w14:val="none"/>
        </w:rPr>
        <w:t>Certains négociants sont très agressifs dans leurs offres de prix et de grandes quantités de métal sont disponibles dans les entrepôts </w:t>
      </w:r>
      <w:r w:rsidRPr="00601756">
        <w:rPr>
          <w:rFonts w:ascii="Lato" w:eastAsia="Times New Roman" w:hAnsi="Lato" w:cs="Times New Roman"/>
          <w:color w:val="000000"/>
          <w:kern w:val="0"/>
          <w:sz w:val="23"/>
          <w:szCs w:val="23"/>
          <w:lang w:eastAsia="fr-BE"/>
          <w14:ligatures w14:val="none"/>
        </w:rPr>
        <w:t>», confirme un négociant. Les acteurs du marché s’accordent à dire que les cours sont affaiblis par la production d’acier, qui reste limitée. « </w:t>
      </w:r>
      <w:r w:rsidRPr="00601756">
        <w:rPr>
          <w:rFonts w:ascii="Lato" w:eastAsia="Times New Roman" w:hAnsi="Lato" w:cs="Times New Roman"/>
          <w:i/>
          <w:iCs/>
          <w:color w:val="000000"/>
          <w:kern w:val="0"/>
          <w:sz w:val="23"/>
          <w:szCs w:val="23"/>
          <w:lang w:eastAsia="fr-BE"/>
          <w14:ligatures w14:val="none"/>
        </w:rPr>
        <w:t>Sauf événement majeur sur le marché, il est probable que les cours poursuivent leur décrue</w:t>
      </w:r>
      <w:r w:rsidRPr="00601756">
        <w:rPr>
          <w:rFonts w:ascii="Lato" w:eastAsia="Times New Roman" w:hAnsi="Lato" w:cs="Times New Roman"/>
          <w:color w:val="000000"/>
          <w:kern w:val="0"/>
          <w:sz w:val="23"/>
          <w:szCs w:val="23"/>
          <w:lang w:eastAsia="fr-BE"/>
          <w14:ligatures w14:val="none"/>
        </w:rPr>
        <w:t xml:space="preserve"> », estime un autre négociant. La tendance baissière est </w:t>
      </w:r>
      <w:r w:rsidRPr="00601756">
        <w:rPr>
          <w:rFonts w:ascii="Lato" w:eastAsia="Times New Roman" w:hAnsi="Lato" w:cs="Times New Roman"/>
          <w:color w:val="000000"/>
          <w:kern w:val="0"/>
          <w:sz w:val="23"/>
          <w:szCs w:val="23"/>
          <w:lang w:eastAsia="fr-BE"/>
          <w14:ligatures w14:val="none"/>
        </w:rPr>
        <w:lastRenderedPageBreak/>
        <w:t>également constatée en Chine, plus gros producteur mondial de flocons de manganèse. Les acteurs locaux l’expliquent par la léthargie de la demande et l’excédent de métal disponible. Cette morosité du marché chinois est également à l’origine de la baisse des cours en Europe, estiment bon nombre de négociants.</w:t>
      </w:r>
    </w:p>
    <w:p w14:paraId="48BD9D21" w14:textId="77777777" w:rsidR="00601756" w:rsidRPr="00601756" w:rsidRDefault="00601756" w:rsidP="00601756">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601756">
        <w:rPr>
          <w:rFonts w:ascii="Lato" w:eastAsia="Times New Roman" w:hAnsi="Lato" w:cs="Times New Roman"/>
          <w:color w:val="000000"/>
          <w:kern w:val="0"/>
          <w:sz w:val="23"/>
          <w:szCs w:val="23"/>
          <w:lang w:eastAsia="fr-BE"/>
          <w14:ligatures w14:val="none"/>
        </w:rPr>
        <w:t> </w:t>
      </w:r>
    </w:p>
    <w:p w14:paraId="50BF5801"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756"/>
    <w:rsid w:val="00287462"/>
    <w:rsid w:val="0060175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DBAD4"/>
  <w15:chartTrackingRefBased/>
  <w15:docId w15:val="{DFC7339B-0CDF-47B4-845F-AC89AA0B2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12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3459</Characters>
  <Application>Microsoft Office Word</Application>
  <DocSecurity>0</DocSecurity>
  <Lines>28</Lines>
  <Paragraphs>8</Paragraphs>
  <ScaleCrop>false</ScaleCrop>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2023-06-27T06:08:00Z</dcterms:created>
  <dcterms:modified xsi:type="dcterms:W3CDTF">2023-06-27T06:09:00Z</dcterms:modified>
</cp:coreProperties>
</file>